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52CA" w14:textId="6FF982DC" w:rsidR="00F11C41" w:rsidRPr="00F11C41" w:rsidRDefault="00F11C41" w:rsidP="00F11C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11C41">
        <w:rPr>
          <w:rFonts w:ascii="Times New Roman" w:hAnsi="Times New Roman" w:cs="Times New Roman"/>
          <w:bCs/>
          <w:sz w:val="24"/>
          <w:szCs w:val="24"/>
          <w:lang w:val="it-IT"/>
        </w:rPr>
        <w:t>COMUNICATO STAMPA</w:t>
      </w:r>
    </w:p>
    <w:p w14:paraId="6FF66C21" w14:textId="77777777" w:rsidR="00F11C41" w:rsidRDefault="00F11C41" w:rsidP="00F11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6B2017" w14:textId="2311765C" w:rsidR="00584DC8" w:rsidRPr="00F11C41" w:rsidRDefault="00584DC8" w:rsidP="00F11C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proofErr w:type="spellStart"/>
      <w:r w:rsidRPr="00F11C41">
        <w:rPr>
          <w:rFonts w:ascii="Times New Roman" w:hAnsi="Times New Roman" w:cs="Times New Roman"/>
          <w:b/>
          <w:sz w:val="24"/>
          <w:szCs w:val="24"/>
          <w:lang w:val="it-IT"/>
        </w:rPr>
        <w:t>Graphisoft</w:t>
      </w:r>
      <w:proofErr w:type="spellEnd"/>
      <w:r w:rsidRPr="00F11C4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pubblica un importante aggiornamento sul passaggio al modello di abbonamento a prova di futuro</w:t>
      </w:r>
    </w:p>
    <w:p w14:paraId="023ADC51" w14:textId="77777777" w:rsidR="00F11C41" w:rsidRDefault="00F11C41" w:rsidP="00F11C41">
      <w:pPr>
        <w:spacing w:after="0" w:line="240" w:lineRule="auto"/>
        <w:jc w:val="both"/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16BAE3BB" w14:textId="5B9F1D7B" w:rsidR="00584DC8" w:rsidRPr="00F11C41" w:rsidRDefault="00584DC8" w:rsidP="00F11C41">
      <w:pPr>
        <w:spacing w:after="0" w:line="240" w:lineRule="auto"/>
        <w:jc w:val="both"/>
        <w:rPr>
          <w:rStyle w:val="Enfasicorsivo"/>
          <w:rFonts w:ascii="Times New Roman" w:hAnsi="Times New Roman" w:cs="Times New Roman"/>
          <w:snapToGrid w:val="0"/>
          <w:w w:val="0"/>
          <w:kern w:val="0"/>
          <w:sz w:val="24"/>
          <w:szCs w:val="24"/>
          <w:u w:color="000000"/>
          <w:bdr w:val="none" w:sz="0" w:space="0" w:color="000000"/>
          <w:shd w:val="clear" w:color="auto" w:fill="FFFFFF"/>
          <w:lang w:val="x-none" w:eastAsia="x-none" w:bidi="x-none"/>
          <w14:ligatures w14:val="none"/>
        </w:rPr>
      </w:pPr>
      <w:r w:rsidRPr="00F11C41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Gli abbonamenti </w:t>
      </w:r>
      <w:proofErr w:type="spellStart"/>
      <w:r w:rsidRPr="00F11C41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Graphisoft</w:t>
      </w:r>
      <w:proofErr w:type="spellEnd"/>
      <w:r w:rsidRPr="00F11C41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offrono agli architetti e ai progettisti un accesso facile e conveniente alla tecnologia BIM sempre aggiornata e alla collaborazione cloud.</w:t>
      </w:r>
    </w:p>
    <w:p w14:paraId="7B488D57" w14:textId="77777777" w:rsidR="00F11C41" w:rsidRDefault="00F11C41" w:rsidP="00F11C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1ABF3A74" w14:textId="2963376C" w:rsidR="00584DC8" w:rsidRPr="00F11C41" w:rsidRDefault="00584DC8" w:rsidP="00F11C4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snapToGrid w:val="0"/>
          <w:w w:val="0"/>
          <w:kern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</w:pPr>
      <w:proofErr w:type="spellStart"/>
      <w:r w:rsidRPr="00F11C41">
        <w:rPr>
          <w:rFonts w:ascii="Times New Roman" w:hAnsi="Times New Roman" w:cs="Times New Roman"/>
          <w:sz w:val="24"/>
          <w:szCs w:val="24"/>
          <w:lang w:val="it-IT"/>
        </w:rPr>
        <w:t>Graphisoft</w:t>
      </w:r>
      <w:proofErr w:type="spellEnd"/>
      <w:r w:rsidRPr="00F11C41">
        <w:rPr>
          <w:rFonts w:ascii="Times New Roman" w:hAnsi="Times New Roman" w:cs="Times New Roman"/>
          <w:sz w:val="24"/>
          <w:szCs w:val="24"/>
          <w:lang w:val="it-IT"/>
        </w:rPr>
        <w:t xml:space="preserve">, leader nello sviluppo di soluzioni software BIM (Building Information </w:t>
      </w:r>
      <w:proofErr w:type="spellStart"/>
      <w:r w:rsidRPr="00F11C41">
        <w:rPr>
          <w:rFonts w:ascii="Times New Roman" w:hAnsi="Times New Roman" w:cs="Times New Roman"/>
          <w:sz w:val="24"/>
          <w:szCs w:val="24"/>
          <w:lang w:val="it-IT"/>
        </w:rPr>
        <w:t>Modeling</w:t>
      </w:r>
      <w:proofErr w:type="spellEnd"/>
      <w:r w:rsidRPr="00F11C41">
        <w:rPr>
          <w:rFonts w:ascii="Times New Roman" w:hAnsi="Times New Roman" w:cs="Times New Roman"/>
          <w:sz w:val="24"/>
          <w:szCs w:val="24"/>
          <w:lang w:val="it-IT"/>
        </w:rPr>
        <w:t xml:space="preserve">) per l'architettura e la progettazione multidisciplinare, ha annunciato oggi che </w:t>
      </w:r>
      <w:r w:rsidRPr="00F11C41">
        <w:rPr>
          <w:rFonts w:ascii="Times New Roman" w:hAnsi="Times New Roman" w:cs="Times New Roman"/>
          <w:b/>
          <w:bCs/>
          <w:sz w:val="24"/>
          <w:szCs w:val="24"/>
          <w:lang w:val="it-IT"/>
        </w:rPr>
        <w:t>i termini di conversione per il 2025 saranno prorogati fino al 31 marzo 2026</w:t>
      </w:r>
      <w:r w:rsidRPr="00F11C41">
        <w:rPr>
          <w:rFonts w:ascii="Times New Roman" w:hAnsi="Times New Roman" w:cs="Times New Roman"/>
          <w:sz w:val="24"/>
          <w:szCs w:val="24"/>
          <w:lang w:val="it-IT"/>
        </w:rPr>
        <w:t xml:space="preserve">. Le altre date chiave del programma pluriennale di transizione all'abbonamento, come la disponibilità delle licenze perpetue </w:t>
      </w:r>
      <w:proofErr w:type="spellStart"/>
      <w:r w:rsidRPr="00F11C41">
        <w:rPr>
          <w:rFonts w:ascii="Times New Roman" w:hAnsi="Times New Roman" w:cs="Times New Roman"/>
          <w:sz w:val="24"/>
          <w:szCs w:val="24"/>
          <w:lang w:val="it-IT"/>
        </w:rPr>
        <w:t>Archicad</w:t>
      </w:r>
      <w:proofErr w:type="spellEnd"/>
      <w:r w:rsidRPr="00F11C41">
        <w:rPr>
          <w:rFonts w:ascii="Times New Roman" w:hAnsi="Times New Roman" w:cs="Times New Roman"/>
          <w:sz w:val="24"/>
          <w:szCs w:val="24"/>
          <w:lang w:val="it-IT"/>
        </w:rPr>
        <w:t xml:space="preserve">, rimangono invariate. </w:t>
      </w:r>
      <w:proofErr w:type="spellStart"/>
      <w:r w:rsidRPr="00F11C41">
        <w:rPr>
          <w:rFonts w:ascii="Times New Roman" w:hAnsi="Times New Roman" w:cs="Times New Roman"/>
          <w:sz w:val="24"/>
          <w:szCs w:val="24"/>
          <w:lang w:val="it-IT"/>
        </w:rPr>
        <w:t>Graphisoft</w:t>
      </w:r>
      <w:proofErr w:type="spellEnd"/>
      <w:r w:rsidRPr="00F11C41">
        <w:rPr>
          <w:rFonts w:ascii="Times New Roman" w:hAnsi="Times New Roman" w:cs="Times New Roman"/>
          <w:sz w:val="24"/>
          <w:szCs w:val="24"/>
          <w:lang w:val="it-IT"/>
        </w:rPr>
        <w:t xml:space="preserve"> ha inoltre chiarito le proprie intenzioni in merito allo sviluppo dei prezzi di conversione degli abbonamenti a lungo termine.</w:t>
      </w:r>
    </w:p>
    <w:p w14:paraId="35322C7D" w14:textId="77777777" w:rsidR="00584DC8" w:rsidRDefault="00584DC8" w:rsidP="00F11C4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Come annunciato nell'</w:t>
      </w:r>
      <w:r w:rsidRPr="00F11C41">
        <w:rPr>
          <w:rFonts w:ascii="Times New Roman" w:hAnsi="Times New Roman" w:cs="Times New Roman"/>
          <w:sz w:val="24"/>
          <w:szCs w:val="24"/>
          <w:lang w:val="it-IT"/>
        </w:rPr>
        <w:t>aprile 2024</w:t>
      </w:r>
      <w:r w:rsidRPr="00F11C41">
        <w:rPr>
          <w:rStyle w:val="Enfasigrassetto"/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e ulteriormente specificato nel </w:t>
      </w:r>
      <w:r w:rsidRPr="00F11C41">
        <w:rPr>
          <w:rFonts w:ascii="Times New Roman" w:hAnsi="Times New Roman" w:cs="Times New Roman"/>
          <w:sz w:val="24"/>
          <w:szCs w:val="24"/>
          <w:lang w:val="it-IT"/>
        </w:rPr>
        <w:t>settembre 2024</w:t>
      </w:r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, i clienti esistenti in possesso di licenze perpetue </w:t>
      </w:r>
      <w:proofErr w:type="spellStart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Archicad</w:t>
      </w:r>
      <w:proofErr w:type="spellEnd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possono acquistare ulteriori licenze perpetue </w:t>
      </w:r>
      <w:proofErr w:type="spellStart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Archicad</w:t>
      </w:r>
      <w:proofErr w:type="spellEnd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e </w:t>
      </w:r>
      <w:proofErr w:type="spellStart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CdAA</w:t>
      </w:r>
      <w:proofErr w:type="spellEnd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/FWD e aggiornare le versioni precedenti di </w:t>
      </w:r>
      <w:proofErr w:type="spellStart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Archicad</w:t>
      </w:r>
      <w:proofErr w:type="spellEnd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fino al 31 dicembre 2025. Si invitano i clienti a contattare il proprio fornitore </w:t>
      </w:r>
      <w:proofErr w:type="spellStart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>Archicad</w:t>
      </w:r>
      <w:proofErr w:type="spellEnd"/>
      <w:r w:rsidRPr="00F11C41">
        <w:rPr>
          <w:rStyle w:val="Enfasigrassetto"/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 locale per conoscere le opzioni di acquisto perpetuo a fine vendita. </w:t>
      </w:r>
    </w:p>
    <w:p w14:paraId="100B2249" w14:textId="77777777" w:rsidR="00F11C41" w:rsidRPr="00F11C41" w:rsidRDefault="00F11C41" w:rsidP="00F11C4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bCs w:val="0"/>
          <w:kern w:val="0"/>
          <w:sz w:val="24"/>
          <w:szCs w:val="24"/>
          <w:lang w:val="it-IT"/>
          <w14:ligatures w14:val="none"/>
        </w:rPr>
      </w:pPr>
    </w:p>
    <w:p w14:paraId="60E181AA" w14:textId="77777777" w:rsidR="00584DC8" w:rsidRDefault="00584DC8" w:rsidP="00F11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F11C41">
        <w:rPr>
          <w:rFonts w:ascii="Times New Roman" w:hAnsi="Times New Roman" w:cs="Times New Roman"/>
          <w:sz w:val="24"/>
          <w:szCs w:val="24"/>
          <w:lang w:val="it-IT"/>
        </w:rPr>
        <w:t>Graphisoft</w:t>
      </w:r>
      <w:proofErr w:type="spellEnd"/>
      <w:r w:rsidRPr="00F11C41">
        <w:rPr>
          <w:rFonts w:ascii="Times New Roman" w:hAnsi="Times New Roman" w:cs="Times New Roman"/>
          <w:sz w:val="24"/>
          <w:szCs w:val="24"/>
          <w:lang w:val="it-IT"/>
        </w:rPr>
        <w:t xml:space="preserve"> ha ora esteso i termini delle condizioni del programma di conversione dell'abbonamento 2025 fino al 31 marzo 2026. I clienti con contratti </w:t>
      </w:r>
      <w:proofErr w:type="spellStart"/>
      <w:r w:rsidRPr="00F11C41">
        <w:rPr>
          <w:rFonts w:ascii="Times New Roman" w:hAnsi="Times New Roman" w:cs="Times New Roman"/>
          <w:sz w:val="24"/>
          <w:szCs w:val="24"/>
          <w:lang w:val="it-IT"/>
        </w:rPr>
        <w:t>CdAA</w:t>
      </w:r>
      <w:proofErr w:type="spellEnd"/>
      <w:r w:rsidRPr="00F11C41"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 w:rsidRPr="00F11C41">
        <w:rPr>
          <w:rFonts w:ascii="Times New Roman" w:hAnsi="Times New Roman" w:cs="Times New Roman"/>
          <w:sz w:val="24"/>
          <w:szCs w:val="24"/>
          <w:lang w:val="it-IT"/>
        </w:rPr>
        <w:t>Forward</w:t>
      </w:r>
      <w:proofErr w:type="spellEnd"/>
      <w:r w:rsidRPr="00F11C41">
        <w:rPr>
          <w:rFonts w:ascii="Times New Roman" w:hAnsi="Times New Roman" w:cs="Times New Roman"/>
          <w:sz w:val="24"/>
          <w:szCs w:val="24"/>
          <w:lang w:val="it-IT"/>
        </w:rPr>
        <w:t xml:space="preserve"> nel primo trimestre del 2026 possono anche scegliere di rinnovare i loro contratti per un ultimo ciclo (soggetto ai termini e alle condizioni locali). </w:t>
      </w:r>
    </w:p>
    <w:p w14:paraId="231539D9" w14:textId="77777777" w:rsidR="00F11C41" w:rsidRPr="00F11C41" w:rsidRDefault="00F11C41" w:rsidP="00F11C4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kern w:val="0"/>
          <w:sz w:val="24"/>
          <w:szCs w:val="24"/>
          <w:lang w:val="it-IT"/>
          <w14:ligatures w14:val="none"/>
        </w:rPr>
      </w:pPr>
    </w:p>
    <w:p w14:paraId="463830D2" w14:textId="77777777" w:rsidR="00584DC8" w:rsidRDefault="00584DC8" w:rsidP="00F11C41">
      <w:pPr>
        <w:pStyle w:val="NormaleWeb"/>
        <w:spacing w:before="0" w:beforeAutospacing="0" w:after="0" w:afterAutospacing="0"/>
        <w:jc w:val="both"/>
        <w:rPr>
          <w:i/>
          <w:lang w:val="it-IT"/>
        </w:rPr>
      </w:pPr>
      <w:r w:rsidRPr="00F11C41">
        <w:rPr>
          <w:i/>
          <w:lang w:val="it-IT"/>
        </w:rPr>
        <w:t>“Siamo consapevoli che la stabilità dei prezzi e la prevedibilità a lungo termine sono fondamentali per il successo dei nostri clienti</w:t>
      </w:r>
      <w:r w:rsidRPr="00F11C41">
        <w:rPr>
          <w:iCs/>
          <w:lang w:val="it-IT"/>
        </w:rPr>
        <w:t xml:space="preserve">”, ha affermato </w:t>
      </w:r>
      <w:r w:rsidRPr="00F11C41">
        <w:rPr>
          <w:b/>
          <w:bCs/>
          <w:iCs/>
          <w:lang w:val="it-IT"/>
        </w:rPr>
        <w:t xml:space="preserve">Daniel </w:t>
      </w:r>
      <w:proofErr w:type="spellStart"/>
      <w:r w:rsidRPr="00F11C41">
        <w:rPr>
          <w:b/>
          <w:bCs/>
          <w:iCs/>
          <w:lang w:val="it-IT"/>
        </w:rPr>
        <w:t>Csillag</w:t>
      </w:r>
      <w:proofErr w:type="spellEnd"/>
      <w:r w:rsidRPr="00F11C41">
        <w:rPr>
          <w:iCs/>
          <w:lang w:val="it-IT"/>
        </w:rPr>
        <w:t xml:space="preserve">, CEO di </w:t>
      </w:r>
      <w:proofErr w:type="spellStart"/>
      <w:r w:rsidRPr="00F11C41">
        <w:rPr>
          <w:iCs/>
          <w:lang w:val="it-IT"/>
        </w:rPr>
        <w:t>Graphisoft</w:t>
      </w:r>
      <w:proofErr w:type="spellEnd"/>
      <w:r w:rsidRPr="00F11C41">
        <w:rPr>
          <w:i/>
          <w:lang w:val="it-IT"/>
        </w:rPr>
        <w:t>. “Ecco perché ci impegniamo a prestare attenzione e discrezione nella definizione dei prezzi: non abbiamo in programma cambiamenti improvvisi o sproporzionati dopo la transizione. A meno che non si verifichino cambiamenti significativi nelle condizioni economiche o di mercato, intendiamo attuare adeguamenti annuali modesti e prevedibili per allineare gradualmente i nostri abbonamenti di conversione al prezzo di listino a lungo termine”.</w:t>
      </w:r>
    </w:p>
    <w:p w14:paraId="6F07BC32" w14:textId="77777777" w:rsidR="00F11C41" w:rsidRPr="00F11C41" w:rsidRDefault="00F11C41" w:rsidP="00F11C41">
      <w:pPr>
        <w:pStyle w:val="NormaleWeb"/>
        <w:spacing w:before="0" w:beforeAutospacing="0" w:after="0" w:afterAutospacing="0"/>
        <w:jc w:val="both"/>
        <w:rPr>
          <w:i/>
          <w:lang w:val="it-IT"/>
        </w:rPr>
      </w:pPr>
    </w:p>
    <w:p w14:paraId="74B5CEDD" w14:textId="77777777" w:rsidR="00584DC8" w:rsidRPr="00F11C41" w:rsidRDefault="00584DC8" w:rsidP="00F11C41">
      <w:pPr>
        <w:jc w:val="both"/>
        <w:rPr>
          <w:rStyle w:val="Enfasigrassetto"/>
          <w:rFonts w:ascii="Times New Roman" w:hAnsi="Times New Roman" w:cs="Times New Roman"/>
          <w:b w:val="0"/>
          <w:bCs w:val="0"/>
          <w:kern w:val="0"/>
          <w:sz w:val="24"/>
          <w:szCs w:val="24"/>
          <w:lang w:val="it-IT" w:eastAsia="en-GB"/>
          <w14:ligatures w14:val="none"/>
        </w:rPr>
      </w:pPr>
      <w:r w:rsidRPr="00F11C41">
        <w:rPr>
          <w:rStyle w:val="Enfasigrassetto"/>
          <w:rFonts w:ascii="Times New Roman" w:hAnsi="Times New Roman" w:cs="Times New Roman"/>
          <w:sz w:val="24"/>
          <w:szCs w:val="24"/>
          <w:lang w:val="it-IT"/>
        </w:rPr>
        <w:t xml:space="preserve">I clienti sono invitati a visitare la pagina web </w:t>
      </w:r>
      <w:hyperlink r:id="rId4" w:anchor="archicad-collaborate" w:history="1">
        <w:r w:rsidRPr="00F11C41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lang w:val="it-IT"/>
          </w:rPr>
          <w:t xml:space="preserve">Converti </w:t>
        </w:r>
        <w:proofErr w:type="spellStart"/>
        <w:r w:rsidRPr="00F11C41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lang w:val="it-IT"/>
          </w:rPr>
          <w:t>CdAA</w:t>
        </w:r>
        <w:proofErr w:type="spellEnd"/>
        <w:r w:rsidRPr="00F11C41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lang w:val="it-IT"/>
          </w:rPr>
          <w:t xml:space="preserve">/FWD in </w:t>
        </w:r>
        <w:proofErr w:type="spellStart"/>
        <w:r w:rsidRPr="00F11C41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lang w:val="it-IT"/>
          </w:rPr>
          <w:t>Archicad</w:t>
        </w:r>
        <w:proofErr w:type="spellEnd"/>
        <w:r w:rsidRPr="00F11C41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lang w:val="it-IT"/>
          </w:rPr>
          <w:t xml:space="preserve"> Subscription</w:t>
        </w:r>
      </w:hyperlink>
      <w:r w:rsidRPr="00F11C41">
        <w:rPr>
          <w:rStyle w:val="Enfasigrassetto"/>
          <w:rFonts w:ascii="Times New Roman" w:hAnsi="Times New Roman" w:cs="Times New Roman"/>
          <w:sz w:val="24"/>
          <w:szCs w:val="24"/>
          <w:lang w:val="it-IT"/>
        </w:rPr>
        <w:t xml:space="preserve"> per ulteriori dettagli e aggiornamenti sul programma di conversione dell'abbonamento.</w:t>
      </w:r>
    </w:p>
    <w:p w14:paraId="7DCDE7AC" w14:textId="77777777" w:rsidR="00584DC8" w:rsidRPr="00F11C41" w:rsidRDefault="00584DC8" w:rsidP="00F11C4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kern w:val="0"/>
          <w:sz w:val="24"/>
          <w:szCs w:val="24"/>
          <w:lang w:val="hu-HU"/>
          <w14:ligatures w14:val="none"/>
        </w:rPr>
      </w:pPr>
    </w:p>
    <w:p w14:paraId="5F3DA732" w14:textId="2916B70F" w:rsidR="00584DC8" w:rsidRPr="00F11C41" w:rsidRDefault="00F11C41" w:rsidP="00F11C41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kern w:val="0"/>
          <w:sz w:val="20"/>
          <w:szCs w:val="20"/>
          <w:lang w:val="hu-HU"/>
          <w14:ligatures w14:val="none"/>
        </w:rPr>
      </w:pPr>
      <w:r w:rsidRPr="00F11C41">
        <w:rPr>
          <w:rStyle w:val="Enfasigrassetto"/>
          <w:rFonts w:ascii="Times New Roman" w:hAnsi="Times New Roman" w:cs="Times New Roman"/>
          <w:kern w:val="0"/>
          <w:sz w:val="20"/>
          <w:szCs w:val="20"/>
          <w:lang w:val="hu-HU"/>
          <w14:ligatures w14:val="none"/>
        </w:rPr>
        <w:t>Note su</w:t>
      </w:r>
      <w:r w:rsidR="00584DC8" w:rsidRPr="00F11C41">
        <w:rPr>
          <w:rStyle w:val="Enfasigrassetto"/>
          <w:rFonts w:ascii="Times New Roman" w:hAnsi="Times New Roman" w:cs="Times New Roman"/>
          <w:kern w:val="0"/>
          <w:sz w:val="20"/>
          <w:szCs w:val="20"/>
          <w:lang w:val="hu-HU"/>
          <w14:ligatures w14:val="none"/>
        </w:rPr>
        <w:t xml:space="preserve"> Archicad</w:t>
      </w:r>
    </w:p>
    <w:p w14:paraId="5B4410CA" w14:textId="77777777" w:rsidR="00584DC8" w:rsidRDefault="00584DC8" w:rsidP="00F11C41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it-IT"/>
        </w:rPr>
      </w:pPr>
      <w:r w:rsidRPr="00F11C41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Create progetti di qualsiasi dimensione con i potenti strumenti integrati e l'interfaccia intuitiva di </w:t>
      </w:r>
      <w:proofErr w:type="spellStart"/>
      <w:r w:rsidRPr="00F11C41">
        <w:rPr>
          <w:rFonts w:ascii="Times New Roman" w:eastAsia="Arial" w:hAnsi="Times New Roman" w:cs="Times New Roman"/>
          <w:sz w:val="20"/>
          <w:szCs w:val="20"/>
          <w:lang w:val="it-IT"/>
        </w:rPr>
        <w:t>Archicad</w:t>
      </w:r>
      <w:proofErr w:type="spellEnd"/>
      <w:r w:rsidRPr="00F11C41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, che lo rendono il software BIM più efficiente e intuitivo sul mercato. Grazie alla documentazione di progettazione pronta all'uso, alla pubblicazione con un solo clic, al rendering fotorealistico e alle migliori analisi della categoria, </w:t>
      </w:r>
      <w:proofErr w:type="spellStart"/>
      <w:r w:rsidRPr="00F11C41">
        <w:rPr>
          <w:rFonts w:ascii="Times New Roman" w:eastAsia="Arial" w:hAnsi="Times New Roman" w:cs="Times New Roman"/>
          <w:sz w:val="20"/>
          <w:szCs w:val="20"/>
          <w:lang w:val="it-IT"/>
        </w:rPr>
        <w:t>Archicad</w:t>
      </w:r>
      <w:proofErr w:type="spellEnd"/>
      <w:r w:rsidRPr="00F11C41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 consente agli architetti di concentrarsi su ciò che sanno fare meglio: progettare edifici straordinari. </w:t>
      </w:r>
      <w:hyperlink r:id="rId5" w:history="1">
        <w:r w:rsidRPr="00F11C41">
          <w:rPr>
            <w:rStyle w:val="Collegamentoipertestuale"/>
            <w:rFonts w:ascii="Times New Roman" w:eastAsia="Arial" w:hAnsi="Times New Roman" w:cs="Times New Roman"/>
            <w:color w:val="auto"/>
            <w:sz w:val="20"/>
            <w:szCs w:val="20"/>
            <w:lang w:val="it-IT"/>
          </w:rPr>
          <w:t xml:space="preserve">Scoprite </w:t>
        </w:r>
        <w:proofErr w:type="spellStart"/>
        <w:r w:rsidRPr="00F11C41">
          <w:rPr>
            <w:rStyle w:val="Collegamentoipertestuale"/>
            <w:rFonts w:ascii="Times New Roman" w:eastAsia="Arial" w:hAnsi="Times New Roman" w:cs="Times New Roman"/>
            <w:color w:val="auto"/>
            <w:sz w:val="20"/>
            <w:szCs w:val="20"/>
            <w:lang w:val="it-IT"/>
          </w:rPr>
          <w:t>Archicad</w:t>
        </w:r>
        <w:proofErr w:type="spellEnd"/>
      </w:hyperlink>
      <w:r w:rsidRPr="00F11C41">
        <w:rPr>
          <w:rFonts w:ascii="Times New Roman" w:eastAsia="Arial" w:hAnsi="Times New Roman" w:cs="Times New Roman"/>
          <w:sz w:val="20"/>
          <w:szCs w:val="20"/>
          <w:lang w:val="it-IT"/>
        </w:rPr>
        <w:t xml:space="preserve">. </w:t>
      </w:r>
    </w:p>
    <w:p w14:paraId="2FB629AA" w14:textId="77777777" w:rsidR="00F11C41" w:rsidRPr="00F11C41" w:rsidRDefault="00F11C41" w:rsidP="00F11C41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val="it-IT"/>
        </w:rPr>
      </w:pPr>
    </w:p>
    <w:p w14:paraId="5D44F73D" w14:textId="275A1B6C" w:rsidR="00584DC8" w:rsidRPr="00F11C41" w:rsidRDefault="00F11C41" w:rsidP="00F11C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</w:pP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>Note su</w:t>
      </w:r>
      <w:r w:rsidR="00584DC8" w:rsidRPr="00F11C4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="00584DC8" w:rsidRPr="00F11C4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it-IT"/>
        </w:rPr>
        <w:t>Graphisoft</w:t>
      </w:r>
      <w:proofErr w:type="spellEnd"/>
    </w:p>
    <w:p w14:paraId="39CDC18B" w14:textId="6C8BE90E" w:rsidR="00584DC8" w:rsidRPr="00F11C41" w:rsidRDefault="00584DC8" w:rsidP="00F11C41">
      <w:pPr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val="it-IT"/>
          <w14:ligatures w14:val="none"/>
        </w:rPr>
      </w:pPr>
      <w:hyperlink r:id="rId6" w:history="1">
        <w:proofErr w:type="spellStart"/>
        <w:r w:rsidRPr="00F11C41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lang w:val="it-IT"/>
          </w:rPr>
          <w:t>Graphisoft</w:t>
        </w:r>
        <w:proofErr w:type="spellEnd"/>
      </w:hyperlink>
      <w:r w:rsidRPr="00F11C41">
        <w:rPr>
          <w:rFonts w:ascii="Times New Roman" w:hAnsi="Times New Roman" w:cs="Times New Roman"/>
          <w:sz w:val="20"/>
          <w:szCs w:val="20"/>
          <w:lang w:val="it-IT"/>
        </w:rPr>
        <w:t xml:space="preserve"> consente ai team di progettare edifici eccezionali grazie a soluzioni software pluripremiate, programmi di formazione e servizi professionali per il settore AEC. I nostri prodotti e soluzioni </w:t>
      </w:r>
      <w:r w:rsidRPr="00F11C41">
        <w:rPr>
          <w:rFonts w:ascii="Times New Roman" w:hAnsi="Times New Roman" w:cs="Times New Roman"/>
          <w:sz w:val="20"/>
          <w:szCs w:val="20"/>
          <w:lang w:val="it-IT"/>
        </w:rPr>
        <w:lastRenderedPageBreak/>
        <w:t xml:space="preserve">pluripremiati supportano OPEN BIM per garantire trasparenza del flusso di lavoro, longevità e accessibilità dei dati per gli asset costruiti. 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  <w:lang w:val="it-IT"/>
        </w:rPr>
        <w:t>Archicad</w:t>
      </w:r>
      <w:proofErr w:type="spellEnd"/>
      <w:r w:rsidRPr="00F11C41">
        <w:rPr>
          <w:rFonts w:ascii="Times New Roman" w:hAnsi="Times New Roman" w:cs="Times New Roman"/>
          <w:sz w:val="20"/>
          <w:szCs w:val="20"/>
          <w:lang w:val="it-IT"/>
        </w:rPr>
        <w:t xml:space="preserve">, il software BIM preferito dagli architetti, offre un flusso di lavoro completo end-to-end per la progettazione e la documentazione per studi di architettura e studi integrati di architettura e ingegneria di qualsiasi dimensione.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  <w:lang w:val="it-IT"/>
        </w:rPr>
        <w:t>BIMx</w:t>
      </w:r>
      <w:proofErr w:type="spellEnd"/>
      <w:r w:rsidRPr="00F11C41">
        <w:rPr>
          <w:rFonts w:ascii="Times New Roman" w:hAnsi="Times New Roman" w:cs="Times New Roman"/>
          <w:sz w:val="20"/>
          <w:szCs w:val="20"/>
          <w:lang w:val="it-IT"/>
        </w:rPr>
        <w:t xml:space="preserve">, l'app BIM mobile e web più popolare, estende l'esperienza BIM per includere tutte le parti interessate nella progettazione, nella realizzazione e nel ciclo di vita operativo dell'edificio.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  <w:lang w:val="it-IT"/>
        </w:rPr>
        <w:t>BIMcloud</w:t>
      </w:r>
      <w:proofErr w:type="spellEnd"/>
      <w:r w:rsidRPr="00F11C41">
        <w:rPr>
          <w:rFonts w:ascii="Times New Roman" w:hAnsi="Times New Roman" w:cs="Times New Roman"/>
          <w:sz w:val="20"/>
          <w:szCs w:val="20"/>
          <w:lang w:val="it-IT"/>
        </w:rPr>
        <w:t xml:space="preserve">, la prima e più avanzata soluzione di collaborazione in team basata su cloud del settore AEC, rende possibile la collaborazione in tempo reale in tutto il mondo, indipendentemente dalle dimensioni del progetto e dalla velocità o dalla qualità delle connessioni di rete dei membri del team. Le soluzioni </w:t>
      </w:r>
      <w:proofErr w:type="spellStart"/>
      <w:r w:rsidRPr="00F11C41">
        <w:rPr>
          <w:rFonts w:ascii="Times New Roman" w:hAnsi="Times New Roman" w:cs="Times New Roman"/>
          <w:b/>
          <w:bCs/>
          <w:sz w:val="20"/>
          <w:szCs w:val="20"/>
          <w:lang w:val="it-IT"/>
        </w:rPr>
        <w:t>DDScad</w:t>
      </w:r>
      <w:proofErr w:type="spellEnd"/>
      <w:r w:rsidRPr="00F11C41">
        <w:rPr>
          <w:rFonts w:ascii="Times New Roman" w:hAnsi="Times New Roman" w:cs="Times New Roman"/>
          <w:sz w:val="20"/>
          <w:szCs w:val="20"/>
          <w:lang w:val="it-IT"/>
        </w:rPr>
        <w:t xml:space="preserve"> supportano gli utenti con strumenti intelligenti di progettazione meccanica, elettrica e idraulica (MEP), calcoli integrati e documentazione completa di tutte le discipline dei sistemi edilizi. </w:t>
      </w:r>
      <w:proofErr w:type="spellStart"/>
      <w:r w:rsidRPr="00F11C41">
        <w:rPr>
          <w:rFonts w:ascii="Times New Roman" w:hAnsi="Times New Roman" w:cs="Times New Roman"/>
          <w:sz w:val="20"/>
          <w:szCs w:val="20"/>
          <w:lang w:val="it-IT"/>
        </w:rPr>
        <w:t>Graphisoft</w:t>
      </w:r>
      <w:proofErr w:type="spellEnd"/>
      <w:r w:rsidRPr="00F11C41">
        <w:rPr>
          <w:rFonts w:ascii="Times New Roman" w:hAnsi="Times New Roman" w:cs="Times New Roman"/>
          <w:sz w:val="20"/>
          <w:szCs w:val="20"/>
          <w:lang w:val="it-IT"/>
        </w:rPr>
        <w:t xml:space="preserve"> fa parte del Gruppo </w:t>
      </w:r>
      <w:proofErr w:type="spellStart"/>
      <w:r w:rsidRPr="00F11C41">
        <w:rPr>
          <w:rFonts w:ascii="Times New Roman" w:hAnsi="Times New Roman" w:cs="Times New Roman"/>
          <w:sz w:val="20"/>
          <w:szCs w:val="20"/>
          <w:lang w:val="it-IT"/>
        </w:rPr>
        <w:t>Nemetschek</w:t>
      </w:r>
      <w:proofErr w:type="spellEnd"/>
      <w:r w:rsidRPr="00F11C41">
        <w:rPr>
          <w:rFonts w:ascii="Times New Roman" w:hAnsi="Times New Roman" w:cs="Times New Roman"/>
          <w:sz w:val="20"/>
          <w:szCs w:val="20"/>
          <w:lang w:val="it-IT"/>
        </w:rPr>
        <w:t xml:space="preserve">. Per ulteriori informazioni, visitare il sito </w:t>
      </w:r>
      <w:hyperlink r:id="rId7" w:history="1">
        <w:r w:rsidRPr="00F11C41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lang w:val="it-IT"/>
          </w:rPr>
          <w:t>graphisoft.com</w:t>
        </w:r>
      </w:hyperlink>
      <w:r w:rsidRPr="00F11C41">
        <w:rPr>
          <w:rFonts w:ascii="Times New Roman" w:hAnsi="Times New Roman" w:cs="Times New Roman"/>
          <w:sz w:val="20"/>
          <w:szCs w:val="20"/>
          <w:lang w:val="it-IT"/>
        </w:rPr>
        <w:t>.</w:t>
      </w:r>
    </w:p>
    <w:p w14:paraId="5797EDB5" w14:textId="77777777" w:rsidR="00121640" w:rsidRDefault="00121640" w:rsidP="00F11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DC35518" w14:textId="39593364" w:rsidR="00F11C41" w:rsidRPr="008D1E8D" w:rsidRDefault="00F11C41" w:rsidP="00F11C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Novembre</w:t>
      </w:r>
      <w:proofErr w:type="spellEnd"/>
      <w:r w:rsidRPr="008D1E8D">
        <w:rPr>
          <w:rFonts w:ascii="Times New Roman" w:hAnsi="Times New Roman" w:cs="Times New Roman"/>
          <w:sz w:val="24"/>
        </w:rPr>
        <w:t>, 2025</w:t>
      </w:r>
    </w:p>
    <w:p w14:paraId="39A44313" w14:textId="77777777" w:rsidR="00F11C41" w:rsidRPr="008D1E8D" w:rsidRDefault="00F11C41" w:rsidP="00F11C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</w:p>
    <w:p w14:paraId="6DAE0312" w14:textId="77777777" w:rsidR="00F11C41" w:rsidRPr="008D1E8D" w:rsidRDefault="00F11C41" w:rsidP="00F11C41">
      <w:pPr>
        <w:pStyle w:val="Nessunaspaziatura"/>
        <w:jc w:val="both"/>
        <w:rPr>
          <w:rFonts w:ascii="Times New Roman" w:hAnsi="Times New Roman" w:cs="Times New Roman"/>
          <w:sz w:val="24"/>
        </w:rPr>
      </w:pPr>
      <w:r w:rsidRPr="008D1E8D">
        <w:rPr>
          <w:rFonts w:ascii="Times New Roman" w:hAnsi="Times New Roman" w:cs="Times New Roman"/>
          <w:sz w:val="24"/>
        </w:rPr>
        <w:t xml:space="preserve">Press </w:t>
      </w:r>
      <w:proofErr w:type="spellStart"/>
      <w:r w:rsidRPr="008D1E8D">
        <w:rPr>
          <w:rFonts w:ascii="Times New Roman" w:hAnsi="Times New Roman" w:cs="Times New Roman"/>
          <w:sz w:val="24"/>
        </w:rPr>
        <w:t>contact</w:t>
      </w:r>
      <w:proofErr w:type="spellEnd"/>
      <w:r w:rsidRPr="008D1E8D">
        <w:rPr>
          <w:rFonts w:ascii="Times New Roman" w:hAnsi="Times New Roman" w:cs="Times New Roman"/>
          <w:sz w:val="24"/>
        </w:rPr>
        <w:t>:</w:t>
      </w:r>
    </w:p>
    <w:p w14:paraId="47B8BB35" w14:textId="77777777" w:rsidR="00F11C41" w:rsidRPr="008D1E8D" w:rsidRDefault="00F11C41" w:rsidP="00F11C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Ufficio Stampa GRAPHISOFT</w:t>
      </w:r>
    </w:p>
    <w:p w14:paraId="14F2A8DD" w14:textId="77777777" w:rsidR="00F11C41" w:rsidRPr="008D1E8D" w:rsidRDefault="00F11C41" w:rsidP="00F11C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Sillabario srl</w:t>
      </w:r>
    </w:p>
    <w:p w14:paraId="3C44DA23" w14:textId="77777777" w:rsidR="00F11C41" w:rsidRPr="008D1E8D" w:rsidRDefault="00F11C41" w:rsidP="00F11C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Giacomo Galli</w:t>
      </w:r>
    </w:p>
    <w:p w14:paraId="38713EDE" w14:textId="77777777" w:rsidR="00F11C41" w:rsidRPr="008D1E8D" w:rsidRDefault="00F11C41" w:rsidP="00F11C41">
      <w:pPr>
        <w:pStyle w:val="Nessunaspaziatura"/>
        <w:jc w:val="both"/>
        <w:rPr>
          <w:rFonts w:ascii="Times New Roman" w:hAnsi="Times New Roman" w:cs="Times New Roman"/>
          <w:b/>
          <w:sz w:val="24"/>
        </w:rPr>
      </w:pPr>
      <w:r w:rsidRPr="008D1E8D">
        <w:rPr>
          <w:rFonts w:ascii="Times New Roman" w:hAnsi="Times New Roman" w:cs="Times New Roman"/>
          <w:sz w:val="24"/>
        </w:rPr>
        <w:t>tel. 0287399276</w:t>
      </w:r>
    </w:p>
    <w:p w14:paraId="6B858F6E" w14:textId="77777777" w:rsidR="00F11C41" w:rsidRDefault="00F11C41" w:rsidP="00F11C41">
      <w:pPr>
        <w:pStyle w:val="Nessunaspaziatura"/>
        <w:jc w:val="both"/>
        <w:rPr>
          <w:rFonts w:ascii="Times New Roman" w:hAnsi="Times New Roman" w:cs="Times New Roman"/>
          <w:sz w:val="24"/>
        </w:rPr>
      </w:pPr>
      <w:proofErr w:type="spellStart"/>
      <w:r w:rsidRPr="008D1E8D">
        <w:rPr>
          <w:rFonts w:ascii="Times New Roman" w:hAnsi="Times New Roman" w:cs="Times New Roman"/>
          <w:sz w:val="24"/>
        </w:rPr>
        <w:t>cell</w:t>
      </w:r>
      <w:proofErr w:type="spellEnd"/>
      <w:r w:rsidRPr="008D1E8D">
        <w:rPr>
          <w:rFonts w:ascii="Times New Roman" w:hAnsi="Times New Roman" w:cs="Times New Roman"/>
          <w:sz w:val="24"/>
        </w:rPr>
        <w:t>. 3333701412</w:t>
      </w:r>
    </w:p>
    <w:p w14:paraId="7DDC656B" w14:textId="77777777" w:rsidR="00F11C41" w:rsidRPr="00CC3B1C" w:rsidRDefault="00F11C41" w:rsidP="00F11C41">
      <w:pPr>
        <w:pStyle w:val="Nessunaspaziatura"/>
        <w:jc w:val="both"/>
        <w:rPr>
          <w:sz w:val="20"/>
          <w:szCs w:val="20"/>
          <w:lang w:val="en-US"/>
        </w:rPr>
      </w:pPr>
      <w:hyperlink r:id="rId8" w:history="1">
        <w:r w:rsidRPr="008D1E8D">
          <w:rPr>
            <w:rStyle w:val="Collegamentoipertestuale"/>
            <w:rFonts w:ascii="Times New Roman" w:hAnsi="Times New Roman" w:cs="Times New Roman"/>
            <w:color w:val="00B0F0"/>
            <w:sz w:val="24"/>
          </w:rPr>
          <w:t>sillabario@sillabariopress.it</w:t>
        </w:r>
      </w:hyperlink>
    </w:p>
    <w:p w14:paraId="0B2BC0D2" w14:textId="77777777" w:rsidR="00F11C41" w:rsidRPr="0001152D" w:rsidRDefault="00F11C41" w:rsidP="00F1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90F103" w14:textId="77777777" w:rsidR="00F11C41" w:rsidRPr="00A37DF0" w:rsidRDefault="00F11C41" w:rsidP="00F11C4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B7AC6D2" w14:textId="77777777" w:rsidR="00F11C41" w:rsidRPr="009D2B5A" w:rsidRDefault="00F11C41" w:rsidP="00F11C4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2A521D" w14:textId="77777777" w:rsidR="00F11C41" w:rsidRPr="009253DE" w:rsidRDefault="00F11C41" w:rsidP="00F11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1734A" w14:textId="77777777" w:rsidR="00F11C41" w:rsidRPr="00F11C41" w:rsidRDefault="00F11C41" w:rsidP="00F11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F11C41" w:rsidRPr="00F11C41" w:rsidSect="00584DC8">
      <w:headerReference w:type="default" r:id="rId9"/>
      <w:pgSz w:w="11907" w:h="16840" w:code="9"/>
      <w:pgMar w:top="1701" w:right="1701" w:bottom="1701" w:left="1701" w:header="737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B7EE" w14:textId="77777777" w:rsidR="00584DC8" w:rsidRDefault="00584DC8" w:rsidP="00834216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C8"/>
    <w:rsid w:val="00121640"/>
    <w:rsid w:val="002854FE"/>
    <w:rsid w:val="003D6B96"/>
    <w:rsid w:val="00584DC8"/>
    <w:rsid w:val="0070087A"/>
    <w:rsid w:val="00F1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7EFC"/>
  <w15:chartTrackingRefBased/>
  <w15:docId w15:val="{9AC82258-C939-49E1-9F7E-30EBA2F8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4DC8"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4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4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4D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4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4D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4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4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4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4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4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4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4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4DC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4DC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4D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4D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4D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4D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4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8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4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4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4DC8"/>
    <w:pPr>
      <w:spacing w:before="160"/>
      <w:jc w:val="center"/>
    </w:pPr>
    <w:rPr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4D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4DC8"/>
    <w:pPr>
      <w:ind w:left="720"/>
      <w:contextualSpacing/>
    </w:pPr>
    <w:rPr>
      <w:lang w:val="it-IT"/>
    </w:rPr>
  </w:style>
  <w:style w:type="character" w:styleId="Enfasiintensa">
    <w:name w:val="Intense Emphasis"/>
    <w:basedOn w:val="Carpredefinitoparagrafo"/>
    <w:uiPriority w:val="21"/>
    <w:qFormat/>
    <w:rsid w:val="00584DC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4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4DC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4DC8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584DC8"/>
    <w:rPr>
      <w:b/>
      <w:bCs/>
    </w:rPr>
  </w:style>
  <w:style w:type="character" w:styleId="Enfasicorsivo">
    <w:name w:val="Emphasis"/>
    <w:basedOn w:val="Carpredefinitoparagrafo"/>
    <w:uiPriority w:val="20"/>
    <w:qFormat/>
    <w:rsid w:val="00584DC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84DC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84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DC8"/>
    <w:rPr>
      <w:lang w:val="en-US"/>
    </w:rPr>
  </w:style>
  <w:style w:type="paragraph" w:styleId="NormaleWeb">
    <w:name w:val="Normal (Web)"/>
    <w:basedOn w:val="Normale"/>
    <w:uiPriority w:val="99"/>
    <w:unhideWhenUsed/>
    <w:rsid w:val="0058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essunaspaziatura">
    <w:name w:val="No Spacing"/>
    <w:uiPriority w:val="1"/>
    <w:qFormat/>
    <w:rsid w:val="00F11C41"/>
    <w:pPr>
      <w:spacing w:after="0" w:line="240" w:lineRule="auto"/>
    </w:pPr>
    <w:rPr>
      <w:rFonts w:ascii="Proxima Nova Light" w:hAnsi="Proxima Nova Light" w:cs="Times New Roman (Body CS)"/>
      <w:kern w:val="0"/>
      <w:sz w:val="18"/>
      <w:szCs w:val="24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labario@sillabariopress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aphisoft.com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raphisoft.com/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aphisoft.com/it/plans-and-products/archica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raphisoft.com/it/convert-ssa-forward-to-archicad-collaborate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cp:keywords/>
  <dc:description/>
  <cp:lastModifiedBy>Giacomo Galli</cp:lastModifiedBy>
  <cp:revision>2</cp:revision>
  <dcterms:created xsi:type="dcterms:W3CDTF">2025-11-03T16:51:00Z</dcterms:created>
  <dcterms:modified xsi:type="dcterms:W3CDTF">2025-11-03T16:55:00Z</dcterms:modified>
</cp:coreProperties>
</file>